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CD3" w:rsidRDefault="00910CD3">
      <w:r>
        <w:t xml:space="preserve">Lima, </w:t>
      </w:r>
      <w:r w:rsidR="00804806">
        <w:t xml:space="preserve">21 de diciembre de 2021 </w:t>
      </w:r>
      <w:r>
        <w:t xml:space="preserve"> </w:t>
      </w:r>
    </w:p>
    <w:p w:rsidR="00910CD3" w:rsidRDefault="00910CD3"/>
    <w:p w:rsidR="00910CD3" w:rsidRDefault="00910CD3" w:rsidP="00910CD3">
      <w:pPr>
        <w:spacing w:after="0" w:line="240" w:lineRule="auto"/>
      </w:pPr>
    </w:p>
    <w:p w:rsidR="00910CD3" w:rsidRDefault="00910CD3" w:rsidP="00910CD3">
      <w:pPr>
        <w:spacing w:after="0" w:line="240" w:lineRule="auto"/>
      </w:pPr>
      <w:r>
        <w:t xml:space="preserve">Señores </w:t>
      </w:r>
    </w:p>
    <w:p w:rsidR="00910CD3" w:rsidRDefault="00910CD3" w:rsidP="00910CD3">
      <w:pPr>
        <w:spacing w:after="0" w:line="240" w:lineRule="auto"/>
      </w:pPr>
      <w:r>
        <w:t xml:space="preserve">Superintendencia del Mercado de Valores </w:t>
      </w:r>
    </w:p>
    <w:p w:rsidR="00910CD3" w:rsidRDefault="00910CD3" w:rsidP="00910CD3">
      <w:pPr>
        <w:spacing w:after="0" w:line="240" w:lineRule="auto"/>
      </w:pPr>
      <w:r>
        <w:t xml:space="preserve">Presente.- </w:t>
      </w:r>
    </w:p>
    <w:p w:rsidR="00910CD3" w:rsidRDefault="00910CD3" w:rsidP="00910CD3">
      <w:pPr>
        <w:spacing w:after="0" w:line="240" w:lineRule="auto"/>
      </w:pPr>
    </w:p>
    <w:p w:rsidR="001707FA" w:rsidRDefault="00910CD3" w:rsidP="001707FA">
      <w:pPr>
        <w:jc w:val="both"/>
      </w:pPr>
      <w:r>
        <w:t>De mi consideración:</w:t>
      </w:r>
    </w:p>
    <w:p w:rsidR="00402C00" w:rsidRDefault="0081249A" w:rsidP="00CD37C1">
      <w:pPr>
        <w:jc w:val="both"/>
      </w:pPr>
      <w:r>
        <w:t>Por medio de la presente</w:t>
      </w:r>
      <w:r w:rsidR="00E64698">
        <w:t>,</w:t>
      </w:r>
      <w:r w:rsidR="001651B8">
        <w:t xml:space="preserve"> </w:t>
      </w:r>
      <w:r w:rsidR="00E64698">
        <w:t>con relación a</w:t>
      </w:r>
      <w:r w:rsidR="00970B75">
        <w:t xml:space="preserve"> proceso de fusión </w:t>
      </w:r>
      <w:r w:rsidR="00BC1B7E">
        <w:t>simple mediante el cual Te</w:t>
      </w:r>
      <w:r w:rsidR="00804806">
        <w:t>lefónica del Perú S.A.A</w:t>
      </w:r>
      <w:r w:rsidR="00402C00">
        <w:t xml:space="preserve"> (“TDP”)</w:t>
      </w:r>
      <w:r w:rsidR="00804806">
        <w:t xml:space="preserve"> absorberá a Servicios Globales de Telecomunicaciones S.A.C</w:t>
      </w:r>
      <w:r w:rsidR="001651B8">
        <w:t xml:space="preserve"> (“SERTEL”)</w:t>
      </w:r>
      <w:r w:rsidR="00BC1B7E">
        <w:t xml:space="preserve"> </w:t>
      </w:r>
      <w:r w:rsidR="001B6953">
        <w:t>con efectiv</w:t>
      </w:r>
      <w:r w:rsidR="00402C00">
        <w:t>idad al 31 de diciembre de 2021</w:t>
      </w:r>
      <w:r w:rsidR="00E64698">
        <w:t xml:space="preserve"> hacemos de su conocimiento lo siguiente:</w:t>
      </w:r>
      <w:r w:rsidR="00402C00">
        <w:t xml:space="preserve"> </w:t>
      </w:r>
    </w:p>
    <w:p w:rsidR="000601F4" w:rsidRDefault="00402C00" w:rsidP="00E64698">
      <w:pPr>
        <w:pStyle w:val="Prrafodelista"/>
        <w:numPr>
          <w:ilvl w:val="0"/>
          <w:numId w:val="2"/>
        </w:numPr>
        <w:jc w:val="both"/>
      </w:pPr>
      <w:r>
        <w:t xml:space="preserve">Dado que se trata de una fusión simple y </w:t>
      </w:r>
      <w:r w:rsidR="001651B8">
        <w:t xml:space="preserve">TDP es accionista </w:t>
      </w:r>
      <w:r w:rsidR="00E64698">
        <w:t xml:space="preserve">único de </w:t>
      </w:r>
      <w:r w:rsidR="001651B8">
        <w:t>SERTEL</w:t>
      </w:r>
      <w:r w:rsidR="00E64698">
        <w:t xml:space="preserve">, como consecuencia de la fusión </w:t>
      </w:r>
      <w:r>
        <w:t xml:space="preserve">no se producirá aumento de capital alguno en la primera, ni se alterará la participación en el capital de los actuales accionistas de ésta en virtud de la operación </w:t>
      </w:r>
      <w:r w:rsidR="00E64698">
        <w:t>aprobada</w:t>
      </w:r>
      <w:r>
        <w:t>. En cons</w:t>
      </w:r>
      <w:r w:rsidR="00E64698">
        <w:t xml:space="preserve">ecuencia, </w:t>
      </w:r>
      <w:r>
        <w:t>no se integrarán nuevos socios a TDP por efecto de la fusión simple, no será necesario establecer una relación de canje, ni aprobar criterios de valorización para dicho fin, así como tampoco hacer referencia alguna a acciones a emitir por la sociedad absorbente, tal como lo establece el artículo 363 de la Ley General de Sociedades</w:t>
      </w:r>
      <w:r w:rsidR="00E64698">
        <w:t>.</w:t>
      </w:r>
    </w:p>
    <w:p w:rsidR="001651B8" w:rsidRDefault="00E64698" w:rsidP="001651B8">
      <w:pPr>
        <w:pStyle w:val="Prrafodelista"/>
        <w:numPr>
          <w:ilvl w:val="0"/>
          <w:numId w:val="2"/>
        </w:numPr>
        <w:jc w:val="both"/>
      </w:pPr>
      <w:r>
        <w:t>Ninguna de las sociedades intervinientes cuenta con acciones de inversión.</w:t>
      </w:r>
    </w:p>
    <w:p w:rsidR="001651B8" w:rsidRDefault="001651B8" w:rsidP="001651B8">
      <w:pPr>
        <w:pStyle w:val="Prrafodelista"/>
        <w:numPr>
          <w:ilvl w:val="0"/>
          <w:numId w:val="2"/>
        </w:numPr>
        <w:jc w:val="both"/>
      </w:pPr>
      <w:r>
        <w:t xml:space="preserve">Ninguna de las sociedades </w:t>
      </w:r>
      <w:r w:rsidR="00E64698">
        <w:t>tiene acciones con derechos especiales.</w:t>
      </w:r>
    </w:p>
    <w:p w:rsidR="001651B8" w:rsidRPr="001651B8" w:rsidRDefault="004E2BCE" w:rsidP="001651B8">
      <w:pPr>
        <w:pStyle w:val="Prrafodelista"/>
        <w:numPr>
          <w:ilvl w:val="0"/>
          <w:numId w:val="2"/>
        </w:numPr>
        <w:jc w:val="both"/>
      </w:pPr>
      <w:r w:rsidRPr="001651B8">
        <w:rPr>
          <w:rFonts w:cs="Arial"/>
          <w:szCs w:val="24"/>
        </w:rPr>
        <w:t>Para efectos de la fusión se ha utilizado como criterio el valor contable de ambas empresas</w:t>
      </w:r>
      <w:r w:rsidR="001651B8" w:rsidRPr="001651B8">
        <w:rPr>
          <w:rFonts w:cs="Arial"/>
          <w:szCs w:val="24"/>
        </w:rPr>
        <w:t xml:space="preserve"> a la fecha de entrada</w:t>
      </w:r>
      <w:r w:rsidR="001651B8">
        <w:rPr>
          <w:rFonts w:cs="Arial"/>
          <w:szCs w:val="24"/>
        </w:rPr>
        <w:t xml:space="preserve"> en vigencia</w:t>
      </w:r>
      <w:r w:rsidR="001651B8" w:rsidRPr="001651B8">
        <w:rPr>
          <w:rFonts w:cs="Arial"/>
          <w:szCs w:val="24"/>
        </w:rPr>
        <w:t xml:space="preserve"> de la operación</w:t>
      </w:r>
      <w:r w:rsidRPr="001651B8">
        <w:rPr>
          <w:rFonts w:cs="Arial"/>
          <w:szCs w:val="24"/>
        </w:rPr>
        <w:t xml:space="preserve">; se adjuntan los Estados Financieros de </w:t>
      </w:r>
      <w:r w:rsidR="001651B8">
        <w:t>SERTEL</w:t>
      </w:r>
      <w:r w:rsidRPr="001651B8">
        <w:rPr>
          <w:rFonts w:cs="Arial"/>
          <w:szCs w:val="24"/>
        </w:rPr>
        <w:t xml:space="preserve"> y TDP al 31 de diciembre de 202</w:t>
      </w:r>
      <w:r w:rsidR="001651B8" w:rsidRPr="001651B8">
        <w:rPr>
          <w:rFonts w:cs="Arial"/>
          <w:szCs w:val="24"/>
        </w:rPr>
        <w:t>0</w:t>
      </w:r>
      <w:r w:rsidRPr="001651B8">
        <w:rPr>
          <w:rFonts w:cs="Arial"/>
          <w:szCs w:val="24"/>
        </w:rPr>
        <w:t>.</w:t>
      </w:r>
    </w:p>
    <w:p w:rsidR="00E64698" w:rsidRDefault="00E64698" w:rsidP="00E64698">
      <w:pPr>
        <w:pStyle w:val="Prrafodelista"/>
        <w:numPr>
          <w:ilvl w:val="0"/>
          <w:numId w:val="2"/>
        </w:numPr>
        <w:jc w:val="both"/>
      </w:pPr>
      <w:r>
        <w:t>No se producirá canje de acciones alguno y las acciones de TDP se mantendrán listadas en el Registro Público del Mercado de Valores.</w:t>
      </w:r>
      <w:bookmarkStart w:id="0" w:name="_GoBack"/>
      <w:bookmarkEnd w:id="0"/>
    </w:p>
    <w:p w:rsidR="00910CD3" w:rsidRDefault="00910CD3" w:rsidP="00910CD3">
      <w:pPr>
        <w:jc w:val="both"/>
      </w:pPr>
      <w:r>
        <w:t>Sin otro particular, queda de usted</w:t>
      </w:r>
    </w:p>
    <w:p w:rsidR="00910CD3" w:rsidRDefault="00910CD3" w:rsidP="00910CD3">
      <w:pPr>
        <w:jc w:val="both"/>
      </w:pPr>
    </w:p>
    <w:p w:rsidR="00910CD3" w:rsidRDefault="00910CD3" w:rsidP="00387461">
      <w:pPr>
        <w:spacing w:after="0" w:line="240" w:lineRule="auto"/>
        <w:jc w:val="both"/>
      </w:pPr>
    </w:p>
    <w:p w:rsidR="00387461" w:rsidRDefault="00387461" w:rsidP="00387461">
      <w:pPr>
        <w:spacing w:after="0" w:line="240" w:lineRule="auto"/>
        <w:jc w:val="both"/>
      </w:pPr>
      <w:r>
        <w:t>Christiann Antonio Hudtwalcker Zegarra</w:t>
      </w:r>
    </w:p>
    <w:p w:rsidR="00387461" w:rsidRDefault="00387461" w:rsidP="00387461">
      <w:pPr>
        <w:spacing w:after="0" w:line="240" w:lineRule="auto"/>
        <w:jc w:val="both"/>
      </w:pPr>
      <w:r>
        <w:t>Representante Bursátil</w:t>
      </w:r>
    </w:p>
    <w:p w:rsidR="00154CF9" w:rsidRDefault="00910CD3" w:rsidP="00387461">
      <w:pPr>
        <w:spacing w:after="0" w:line="240" w:lineRule="auto"/>
        <w:jc w:val="both"/>
      </w:pPr>
      <w:r>
        <w:t>Telefónica del Perú S.A.A.</w:t>
      </w:r>
    </w:p>
    <w:sectPr w:rsidR="00154CF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138" w:rsidRDefault="00594138" w:rsidP="00804806">
      <w:pPr>
        <w:spacing w:after="0" w:line="240" w:lineRule="auto"/>
      </w:pPr>
      <w:r>
        <w:separator/>
      </w:r>
    </w:p>
  </w:endnote>
  <w:endnote w:type="continuationSeparator" w:id="0">
    <w:p w:rsidR="00594138" w:rsidRDefault="00594138" w:rsidP="00804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138" w:rsidRDefault="00594138" w:rsidP="00804806">
      <w:pPr>
        <w:spacing w:after="0" w:line="240" w:lineRule="auto"/>
      </w:pPr>
      <w:r>
        <w:separator/>
      </w:r>
    </w:p>
  </w:footnote>
  <w:footnote w:type="continuationSeparator" w:id="0">
    <w:p w:rsidR="00594138" w:rsidRDefault="00594138" w:rsidP="008048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16F05"/>
    <w:multiLevelType w:val="singleLevel"/>
    <w:tmpl w:val="CBA077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lbertus Medium" w:hAnsi="Albertus Medium" w:hint="default"/>
        <w:sz w:val="22"/>
      </w:rPr>
    </w:lvl>
  </w:abstractNum>
  <w:abstractNum w:abstractNumId="1" w15:restartNumberingAfterBreak="0">
    <w:nsid w:val="171368C4"/>
    <w:multiLevelType w:val="hybridMultilevel"/>
    <w:tmpl w:val="89DC1C9E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48668E"/>
    <w:multiLevelType w:val="hybridMultilevel"/>
    <w:tmpl w:val="BAA261B0"/>
    <w:lvl w:ilvl="0" w:tplc="47F4D9D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19103F"/>
    <w:multiLevelType w:val="hybridMultilevel"/>
    <w:tmpl w:val="A1ACC40C"/>
    <w:lvl w:ilvl="0" w:tplc="14A8BB0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CD3"/>
    <w:rsid w:val="000601F4"/>
    <w:rsid w:val="00154CF9"/>
    <w:rsid w:val="001651B8"/>
    <w:rsid w:val="001707FA"/>
    <w:rsid w:val="00171357"/>
    <w:rsid w:val="00191545"/>
    <w:rsid w:val="001B6953"/>
    <w:rsid w:val="00312642"/>
    <w:rsid w:val="00387461"/>
    <w:rsid w:val="00397326"/>
    <w:rsid w:val="00397800"/>
    <w:rsid w:val="003E5468"/>
    <w:rsid w:val="003F330C"/>
    <w:rsid w:val="00402C00"/>
    <w:rsid w:val="004E2BCE"/>
    <w:rsid w:val="005345AC"/>
    <w:rsid w:val="00594138"/>
    <w:rsid w:val="005B010D"/>
    <w:rsid w:val="00657760"/>
    <w:rsid w:val="00804806"/>
    <w:rsid w:val="0081249A"/>
    <w:rsid w:val="008D4F17"/>
    <w:rsid w:val="008D6663"/>
    <w:rsid w:val="00910CD3"/>
    <w:rsid w:val="0094384C"/>
    <w:rsid w:val="00956FC4"/>
    <w:rsid w:val="00970B75"/>
    <w:rsid w:val="00BC1B7E"/>
    <w:rsid w:val="00C35596"/>
    <w:rsid w:val="00CD37C1"/>
    <w:rsid w:val="00E64698"/>
    <w:rsid w:val="00EE3E92"/>
    <w:rsid w:val="00F57B76"/>
    <w:rsid w:val="00F81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000DF10"/>
  <w15:chartTrackingRefBased/>
  <w15:docId w15:val="{3CF973BD-7B6F-4C6A-9292-2518C7EE5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10CD3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semiHidden/>
    <w:rsid w:val="004E2BCE"/>
    <w:pPr>
      <w:spacing w:after="0" w:line="240" w:lineRule="auto"/>
      <w:ind w:left="284" w:hanging="426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semiHidden/>
    <w:rsid w:val="004E2BCE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semiHidden/>
    <w:rsid w:val="004E2BCE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semiHidden/>
    <w:rsid w:val="004E2BCE"/>
    <w:rPr>
      <w:rFonts w:ascii="Arial" w:eastAsia="Times New Roman" w:hAnsi="Arial" w:cs="Times New Roman"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253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Telefonica del Peru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Mur Mendiola</dc:creator>
  <cp:keywords/>
  <dc:description/>
  <cp:lastModifiedBy>Alessandra Mur Mendiola</cp:lastModifiedBy>
  <cp:revision>8</cp:revision>
  <cp:lastPrinted>2018-06-25T22:38:00Z</cp:lastPrinted>
  <dcterms:created xsi:type="dcterms:W3CDTF">2021-12-21T16:14:00Z</dcterms:created>
  <dcterms:modified xsi:type="dcterms:W3CDTF">2021-12-21T16:35:00Z</dcterms:modified>
</cp:coreProperties>
</file>